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43B49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2563EB"/>
                <w:sz w:val="14"/>
                <w:szCs w:val="14"/>
              </w:rPr>
              <w:t xml:space="preserve">AMOUNT PAYABLE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43B49"/>
                <w:sz w:val="30"/>
                <w:szCs w:val="30"/>
              </w:rPr>
              <w:t xml:space="preserve">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INV-SAMPLE-001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43B49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43B49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43B49"/>
                <w:sz w:val="15"/>
                <w:szCs w:val="15"/>
              </w:rPr>
              <w:t xml:space="preserve">INVOICE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43B49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43B49"/>
                <w:sz w:val="15"/>
                <w:szCs w:val="15"/>
              </w:rPr>
              <w:t xml:space="preserve">AMOUNT PAYABLE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43B49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2563E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2563E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2563E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2563E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2563E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43B49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INV-SAMPLE-001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43B49"/>
        <w:sz w:val="14"/>
        <w:szCs w:val="14"/>
      </w:rPr>
      <w:t xml:space="preserve">KIFARU NETWORKS LIMITED   |  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