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E293B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64748B"/>
                <w:sz w:val="14"/>
                <w:szCs w:val="14"/>
              </w:rPr>
              <w:t xml:space="preserve">AMOUNT PAYABLE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E293B"/>
                <w:sz w:val="30"/>
                <w:szCs w:val="30"/>
              </w:rPr>
              <w:t xml:space="preserve">INVOICE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INV-SAMPLE-001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E293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E293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DUE DATE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E293B"/>
                <w:sz w:val="15"/>
                <w:szCs w:val="15"/>
              </w:rPr>
              <w:t xml:space="preserve">INVOICE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18"/>
                <w:szCs w:val="18"/>
              </w:rPr>
              <w:t xml:space="preserve">10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E293B"/>
                <w:sz w:val="15"/>
                <w:szCs w:val="15"/>
              </w:rPr>
              <w:t xml:space="preserve">PAYMENT DUE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18"/>
                <w:szCs w:val="18"/>
              </w:rPr>
              <w:t xml:space="preserve">24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E293B"/>
                <w:sz w:val="15"/>
                <w:szCs w:val="15"/>
              </w:rPr>
              <w:t xml:space="preserve">AMOUNT PAYABLE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18"/>
                <w:szCs w:val="18"/>
              </w:rPr>
              <w:t xml:space="preserve">KES 69,600.00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E293B"/>
                <w:sz w:val="15"/>
                <w:szCs w:val="15"/>
              </w:rPr>
              <w:t xml:space="preserve">CUSTOMER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BILL TO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64748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64748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64748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64748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64748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Website design and setup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45,000.00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45,000.00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Business email configuration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8,500.00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8,500.00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Training and handover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E293B"/>
                <w:sz w:val="20"/>
                <w:szCs w:val="20"/>
              </w:rPr>
              <w:t xml:space="preserve">6,500.00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VAT: KES 9,600.00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69,600.00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TERMS AND CONDITIONS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Review the scope and amounts before accepting. Refer to the agreed payment terms.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INV-SAMPLE-001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E293B"/>
        <w:sz w:val="14"/>
        <w:szCs w:val="14"/>
      </w:rPr>
      <w:t xml:space="preserve">KIFARU NETWORKS LIMITED   |   INVOICE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