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C9A227"/>
                <w:sz w:val="15"/>
                <w:szCs w:val="15"/>
              </w:rPr>
              <w:t xml:space="preserve">KRA PIN  SAMPLE ONLY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TAX INVOICE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TAX INVOICE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TAX-SAMPLE-001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/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SUPPLIER KRA PIN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 ONLY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CUSTOMER KRA PIN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TAX INVOICE TOTAL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KES 69,600.00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BILL TO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2"/>
          <w:szCs w:val="22"/>
        </w:rPr>
        <w:t xml:space="preserve">Lakeview Traders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Example Road, Nakuru    accounts@example.com</w:t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Website design and setup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45,000.00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45,000.00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Business email configuration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8,500.00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8,500.00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Training and handover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6,500.00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6,500.00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60,000.00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VAT: KES 9,600.00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69,600.00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Supply date: 10 October 2026</w:t>
        <w:br/>
        <w:t xml:space="preserve">Tax category: Example standard-rated supply</w:t>
        <w:br/>
        <w:t xml:space="preserve">eTIMS reference supplied by issuer: Not connected - sample only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TAX-SAMPLE-001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TAX INVOICE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